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BB" w:rsidRPr="003079EF" w:rsidRDefault="00B40DBB" w:rsidP="003079E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079EF">
        <w:rPr>
          <w:rFonts w:ascii="Times New Roman" w:hAnsi="Times New Roman" w:cs="Times New Roman"/>
          <w:b/>
          <w:sz w:val="52"/>
          <w:szCs w:val="52"/>
        </w:rPr>
        <w:t>Edge computing:</w:t>
      </w:r>
    </w:p>
    <w:p w:rsidR="00B40DBB" w:rsidRPr="00B40DBB" w:rsidRDefault="00B40DBB" w:rsidP="003079E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0DBB">
        <w:rPr>
          <w:rFonts w:ascii="Times New Roman" w:hAnsi="Times New Roman" w:cs="Times New Roman"/>
          <w:b/>
          <w:sz w:val="44"/>
          <w:szCs w:val="44"/>
        </w:rPr>
        <w:t>почему об этой технологии следует узнать немедленно?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DBB" w:rsidRPr="003079EF" w:rsidRDefault="00B40DBB" w:rsidP="00B40DB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9EF">
        <w:rPr>
          <w:rFonts w:ascii="Times New Roman" w:hAnsi="Times New Roman" w:cs="Times New Roman"/>
          <w:i/>
          <w:sz w:val="24"/>
          <w:szCs w:val="24"/>
        </w:rPr>
        <w:t>Сергей Стельмах | 16.11.2017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 xml:space="preserve">Казалось бы, термин «облачные вычисления» (cloud computing) только недавно вписался в обиход, а на горизонте появилась ещё одна модель компьютинга — на сей раз это edge computing (периферийные, или граничные вычисления), иногда его ещё называют fog computing (туманные вычисления). В общих чертах под этой технологией подразумевается отдаленный мониторинг и обработка данных непосредственно на IoT-девайсах. Edge computing может показаться новинкой, но на самом деле принцип его работы иллюстрируют смартфоны, планшеты, сенсоры, робототехника, автоматизированные линии, производственные цеха, массивно-распределенная аналитика — устройства и технологии точечных вычислений «на местах». Мери Шаклет из TechRepublic систематизировала информацию об граничных вычислениях в виде руководства, которое поможет лучше понять, что </w:t>
      </w:r>
      <w:r>
        <w:rPr>
          <w:rFonts w:ascii="Times New Roman" w:hAnsi="Times New Roman" w:cs="Times New Roman"/>
          <w:sz w:val="24"/>
          <w:szCs w:val="24"/>
        </w:rPr>
        <w:t>это такое и для чего они нужны.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0DBB">
        <w:rPr>
          <w:rFonts w:ascii="Times New Roman" w:hAnsi="Times New Roman" w:cs="Times New Roman"/>
          <w:b/>
          <w:sz w:val="32"/>
          <w:szCs w:val="32"/>
        </w:rPr>
        <w:t>Об edge computing вкратце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Что такое граничные вычисления? Самое важное отличие граничных вычислений от облачных заключается в том, что сбор и анализ данных проводится не в централизованной вычислительной среде, такой как ЦОД, а в том месте, где происходит генерация потоков данных. Источниками данных служат цифровые устройства (не обязательно находящиеся в одной локации), которые затем передают эти данные в режиме реального времени (зависит от ситуации, передача информации может быть отлож</w:t>
      </w:r>
      <w:r>
        <w:rPr>
          <w:rFonts w:ascii="Times New Roman" w:hAnsi="Times New Roman" w:cs="Times New Roman"/>
          <w:sz w:val="24"/>
          <w:szCs w:val="24"/>
        </w:rPr>
        <w:t>ена) в центральный репозиторий.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 xml:space="preserve">В чем заключается их значимость? Эксперты прогнозируют, что к 2020 г. в мире будет насчитываться больше 5 млн. «умных» сенсоров и других IoT-устройств, которые будут генерировать по меньшей мере 507,5 Зб данных. Edge computing поможет компаниям </w:t>
      </w:r>
      <w:r>
        <w:rPr>
          <w:rFonts w:ascii="Times New Roman" w:hAnsi="Times New Roman" w:cs="Times New Roman"/>
          <w:sz w:val="24"/>
          <w:szCs w:val="24"/>
        </w:rPr>
        <w:t>переварить эту гору информации.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На что простирается их влияние? IoT и граничные вычисления будут применяться во многих отраслях промышленности, включая больницы, сети розничной торговли и поставщиков логистических услуг. Директора предприятий, бизнес-лидеры и руководители производств — вот тот круг заинтересованных лиц, которым предстоит принять реше</w:t>
      </w:r>
      <w:r>
        <w:rPr>
          <w:rFonts w:ascii="Times New Roman" w:hAnsi="Times New Roman" w:cs="Times New Roman"/>
          <w:sz w:val="24"/>
          <w:szCs w:val="24"/>
        </w:rPr>
        <w:t>ние о внедрении edge computing.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Как долго ждать внедрения технологии? Многие компании не ждут и уже развернули edge computing в рамках с</w:t>
      </w:r>
      <w:bookmarkStart w:id="0" w:name="_GoBack"/>
      <w:bookmarkEnd w:id="0"/>
      <w:r w:rsidRPr="00B40DBB">
        <w:rPr>
          <w:rFonts w:ascii="Times New Roman" w:hAnsi="Times New Roman" w:cs="Times New Roman"/>
          <w:sz w:val="24"/>
          <w:szCs w:val="24"/>
        </w:rPr>
        <w:t>воих IoT-стратегий. Вероятность того, что скорость развертывани</w:t>
      </w:r>
      <w:r>
        <w:rPr>
          <w:rFonts w:ascii="Times New Roman" w:hAnsi="Times New Roman" w:cs="Times New Roman"/>
          <w:sz w:val="24"/>
          <w:szCs w:val="24"/>
        </w:rPr>
        <w:t>я будет расти, довольно велика.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Как начать прямо сейчас? На рынке присутствуют решения как для локальной установки решений для граничных вычислений, так и подписны</w:t>
      </w:r>
      <w:r>
        <w:rPr>
          <w:rFonts w:ascii="Times New Roman" w:hAnsi="Times New Roman" w:cs="Times New Roman"/>
          <w:sz w:val="24"/>
          <w:szCs w:val="24"/>
        </w:rPr>
        <w:t>е сервисы облачных провайдеров.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0DBB">
        <w:rPr>
          <w:rFonts w:ascii="Times New Roman" w:hAnsi="Times New Roman" w:cs="Times New Roman"/>
          <w:b/>
          <w:sz w:val="32"/>
          <w:szCs w:val="32"/>
        </w:rPr>
        <w:lastRenderedPageBreak/>
        <w:t>Об edge computing развернуто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граничные вычисления?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Это вычислительные ресурсы (например, серверы, СХД, ПО и сетевые подключения), которые развертываются по периметру предприятия. Для этого большинство организаций проводит децентрализацию вычислительных ресурсов, часть из которых переводится из центральных ЦОДов на удаленные объекты типа офисов, торг</w:t>
      </w:r>
      <w:r>
        <w:rPr>
          <w:rFonts w:ascii="Times New Roman" w:hAnsi="Times New Roman" w:cs="Times New Roman"/>
          <w:sz w:val="24"/>
          <w:szCs w:val="24"/>
        </w:rPr>
        <w:t>овых точек, клиник или заводов.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 xml:space="preserve">Примечательно, что некоторые ИТ-специалисты не различают разницу между граничными и традиционными распределенными вычислениями, которые предназначаются для распараллеливания вычислительных мощностей между ЦОДами и офисами, и существуют несколько десятилетий. Разница между ними состоит в том, что edge computing привязан к данным IoT, которые собираются с удаленных датчиков, смартфонов, планшетов и машин. Затем эти данные анализируются и результаты </w:t>
      </w:r>
      <w:r>
        <w:rPr>
          <w:rFonts w:ascii="Times New Roman" w:hAnsi="Times New Roman" w:cs="Times New Roman"/>
          <w:sz w:val="24"/>
          <w:szCs w:val="24"/>
        </w:rPr>
        <w:t>передаются персоналу на местах.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Ещё один способ применения edge computing — мониторинг сетевой безопасности, эта технология крайне эффективна в плане предотвращения вирусных атак или распространения вредоносного ПО. В случае обнаружения атаки образцы вируса помещаются в карантин, что предотвращает угрозу компр</w:t>
      </w:r>
      <w:r>
        <w:rPr>
          <w:rFonts w:ascii="Times New Roman" w:hAnsi="Times New Roman" w:cs="Times New Roman"/>
          <w:sz w:val="24"/>
          <w:szCs w:val="24"/>
        </w:rPr>
        <w:t>ометации всей сети предприятия.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Другие методы применения граничных вычислений можно клас</w:t>
      </w:r>
      <w:r>
        <w:rPr>
          <w:rFonts w:ascii="Times New Roman" w:hAnsi="Times New Roman" w:cs="Times New Roman"/>
          <w:sz w:val="24"/>
          <w:szCs w:val="24"/>
        </w:rPr>
        <w:t>сифицировать следующим образом: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• менеджеры по управлению инфраструктурой организации применяют средства граничных вычислений и IoT для мониторинга технического сост</w:t>
      </w:r>
      <w:r>
        <w:rPr>
          <w:rFonts w:ascii="Times New Roman" w:hAnsi="Times New Roman" w:cs="Times New Roman"/>
          <w:sz w:val="24"/>
          <w:szCs w:val="24"/>
        </w:rPr>
        <w:t>ояния зданий и их безопасности;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• производители полупроводников и электроники используют IoT и edge computing для мониторинга качества чипов на протяжении</w:t>
      </w:r>
      <w:r>
        <w:rPr>
          <w:rFonts w:ascii="Times New Roman" w:hAnsi="Times New Roman" w:cs="Times New Roman"/>
          <w:sz w:val="24"/>
          <w:szCs w:val="24"/>
        </w:rPr>
        <w:t xml:space="preserve"> всего производственного цикла;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• при помощи этой технологии продуктовые гипермаркеты отслеживают цепочку поставщиков, контролируя условия хранения и транспортировки скоропортящихся продуктов. Прослеживается соблюдение температурного режима хранения, уровней влажности, бе</w:t>
      </w:r>
      <w:r>
        <w:rPr>
          <w:rFonts w:ascii="Times New Roman" w:hAnsi="Times New Roman" w:cs="Times New Roman"/>
          <w:sz w:val="24"/>
          <w:szCs w:val="24"/>
        </w:rPr>
        <w:t>режность транспортировки и др.;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• оснащенные IoT-датчиками грузовики помогают горнодобывающим компаниям контролировать маршруты своих автомобилей и состояние грузов, это особенно актуально при транспортировке в отдаленные районы. В этом случае edge computing выступает в качестве «стража порядка», предотвращая хищение транзитных грузов для последующей перепродажи на черн</w:t>
      </w:r>
      <w:r>
        <w:rPr>
          <w:rFonts w:ascii="Times New Roman" w:hAnsi="Times New Roman" w:cs="Times New Roman"/>
          <w:sz w:val="24"/>
          <w:szCs w:val="24"/>
        </w:rPr>
        <w:t>ом рынке;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 xml:space="preserve">• логистика — ещё один профиль деятельности, где нашел применение метод граничных вычислений. В комбинации с сетью IoT-оборудования он предназначен для отслеживания перемещения товарных запасов в сортировочных </w:t>
      </w:r>
      <w:r>
        <w:rPr>
          <w:rFonts w:ascii="Times New Roman" w:hAnsi="Times New Roman" w:cs="Times New Roman"/>
          <w:sz w:val="24"/>
          <w:szCs w:val="24"/>
        </w:rPr>
        <w:t>цехах и в складских помещениях;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• ритейлерам технология нужна для сбора данных по продажам во всех торговых точках. Затем эти данные передаются в ERP-системы д</w:t>
      </w:r>
      <w:r>
        <w:rPr>
          <w:rFonts w:ascii="Times New Roman" w:hAnsi="Times New Roman" w:cs="Times New Roman"/>
          <w:sz w:val="24"/>
          <w:szCs w:val="24"/>
        </w:rPr>
        <w:t>ля дальнейшего учета и анализа;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lastRenderedPageBreak/>
        <w:t>• в лечебных учреждениях периферийный компьютинг используется в качестве локальной платформы для сбора информации и формиров</w:t>
      </w:r>
      <w:r>
        <w:rPr>
          <w:rFonts w:ascii="Times New Roman" w:hAnsi="Times New Roman" w:cs="Times New Roman"/>
          <w:sz w:val="24"/>
          <w:szCs w:val="24"/>
        </w:rPr>
        <w:t>ания отчетности в операционных;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• промышленные цеха, заводские помещения. На этих объектах новая технология занимается сбором данных о работе оборудования, станков, конвейеров и оповещает персонал, когда какое-то оборудование готовится выйти из строя. Комплекс edge computing, сеть IoT и заводские информационные системы способны информировать руководителей производства о том, все ли операции проводятся по установленному графику. Собранная информация может по необходимости передаваться в корпоративный ЦОД для дальнейшего анализа бизнес-менеджер</w:t>
      </w:r>
      <w:r>
        <w:rPr>
          <w:rFonts w:ascii="Times New Roman" w:hAnsi="Times New Roman" w:cs="Times New Roman"/>
          <w:sz w:val="24"/>
          <w:szCs w:val="24"/>
        </w:rPr>
        <w:t>ами и ключевыми руководителями.</w:t>
      </w:r>
    </w:p>
    <w:p w:rsidR="00B40DBB" w:rsidRPr="003079EF" w:rsidRDefault="00B40DBB" w:rsidP="00B40D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9EF">
        <w:rPr>
          <w:rFonts w:ascii="Times New Roman" w:hAnsi="Times New Roman" w:cs="Times New Roman"/>
          <w:b/>
          <w:sz w:val="28"/>
          <w:szCs w:val="28"/>
        </w:rPr>
        <w:t>Какова роль ИТ-служб в работе IoT-систем?</w:t>
      </w:r>
      <w:r w:rsidRPr="003079EF">
        <w:rPr>
          <w:rFonts w:ascii="Times New Roman" w:hAnsi="Times New Roman" w:cs="Times New Roman"/>
          <w:b/>
          <w:sz w:val="28"/>
          <w:szCs w:val="28"/>
        </w:rPr>
        <w:t xml:space="preserve"> Какие сложности их преследуют?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Ответы на эти в</w:t>
      </w:r>
      <w:r>
        <w:rPr>
          <w:rFonts w:ascii="Times New Roman" w:hAnsi="Times New Roman" w:cs="Times New Roman"/>
          <w:sz w:val="24"/>
          <w:szCs w:val="24"/>
        </w:rPr>
        <w:t>опросы заключаются в следующем:</w:t>
      </w:r>
    </w:p>
    <w:p w:rsidR="00B40DBB" w:rsidRPr="00B40DBB" w:rsidRDefault="00B40DBB" w:rsidP="00B40DBB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• датчики и мобильные устройства, развернутые на удаленных объектах по схеме edge computing, должны надлежащим образом экс</w:t>
      </w:r>
      <w:r>
        <w:rPr>
          <w:rFonts w:ascii="Times New Roman" w:hAnsi="Times New Roman" w:cs="Times New Roman"/>
          <w:sz w:val="24"/>
          <w:szCs w:val="24"/>
        </w:rPr>
        <w:t>плуатироваться и обслуживаться;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• администраторы сетей несут ответственность за обеспечение безопасности работы оборудования и обязаны выявлять случаи вторжения в IoT-сеть</w:t>
      </w:r>
      <w:r>
        <w:rPr>
          <w:rFonts w:ascii="Times New Roman" w:hAnsi="Times New Roman" w:cs="Times New Roman"/>
          <w:sz w:val="24"/>
          <w:szCs w:val="24"/>
        </w:rPr>
        <w:t xml:space="preserve"> или подмену сенсоров;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• в случае необходимости ИТ-служба уполномочена обучить операторов IoT-оборуд</w:t>
      </w:r>
      <w:r>
        <w:rPr>
          <w:rFonts w:ascii="Times New Roman" w:hAnsi="Times New Roman" w:cs="Times New Roman"/>
          <w:sz w:val="24"/>
          <w:szCs w:val="24"/>
        </w:rPr>
        <w:t>ования правильной работе с ним;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 xml:space="preserve">• частая корректировка запущенных на IoT бизнес-процессов и координация с руководством; последнее особо важно, поскольку именно от ИТ-службы зависит создание налаженного канала связи для передачи данных (как правило, через Интернет), анализ которых может повлечь за собой смену </w:t>
      </w:r>
      <w:r>
        <w:rPr>
          <w:rFonts w:ascii="Times New Roman" w:hAnsi="Times New Roman" w:cs="Times New Roman"/>
          <w:sz w:val="24"/>
          <w:szCs w:val="24"/>
        </w:rPr>
        <w:t>стратегических планов компании.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0DBB">
        <w:rPr>
          <w:rFonts w:ascii="Times New Roman" w:hAnsi="Times New Roman" w:cs="Times New Roman"/>
          <w:b/>
          <w:sz w:val="32"/>
          <w:szCs w:val="32"/>
        </w:rPr>
        <w:t>В чем заключа</w:t>
      </w:r>
      <w:r w:rsidRPr="00B40DBB">
        <w:rPr>
          <w:rFonts w:ascii="Times New Roman" w:hAnsi="Times New Roman" w:cs="Times New Roman"/>
          <w:b/>
          <w:sz w:val="32"/>
          <w:szCs w:val="32"/>
        </w:rPr>
        <w:t>ется значимость edge computing?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Уже мало у кого возникают сомнения, что «умные» датчики, сенсоры, камеры, пульты управления, панели инструментов, сети, шлюзы заполнят промышленные объекты, улицы, офисные помещения, будут следить за правопорядком, контролировать транспортные потоки и делать множество других вещей, о которых нам только предстоит узнать. По прогнозам экспертов, к 2023 г. объем рынка IoT достигнет 724,2 млрд. долл. К тому времени количество генерируемой IoT-устройствами информации будет исчисляться сотнями зеттабайтов, и отвечать за их «отработк</w:t>
      </w:r>
      <w:r>
        <w:rPr>
          <w:rFonts w:ascii="Times New Roman" w:hAnsi="Times New Roman" w:cs="Times New Roman"/>
          <w:sz w:val="24"/>
          <w:szCs w:val="24"/>
        </w:rPr>
        <w:t>у» будет именно edge computing.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Ценная информация — лакомый кусок для всех, и предприятия — не исключение. Данные с датчиков, смартфонов, машин и других интеллектуальных устройств, которые находятся вне прямой видимости корпоративных штаб-квартир, — это неструктурированная информация, которая выбивается из привычной схемы потребления: её нельзя скопом отправить в корпоративный ЦОД и ждать, когда она будет обработана и на выходе будет получено ожидаемое. Дело в том, что объем генерируемой IoT информации слишком велик, он накапливается в режиме реального времени и может попросту «забить» канал передачи данных предприятия, буд</w:t>
      </w:r>
      <w:r>
        <w:rPr>
          <w:rFonts w:ascii="Times New Roman" w:hAnsi="Times New Roman" w:cs="Times New Roman"/>
          <w:sz w:val="24"/>
          <w:szCs w:val="24"/>
        </w:rPr>
        <w:t>ь то Интернет или частная сеть.</w:t>
      </w:r>
    </w:p>
    <w:p w:rsidR="00B40DBB" w:rsidRPr="00B40DBB" w:rsidRDefault="00B40DBB" w:rsidP="003079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lastRenderedPageBreak/>
        <w:t>Чтобы предотвратить подобное, организации переносят свои ИТ-ресурсы на «край» — туда, где происходит постоянная миграция данных. Для их сбора оборудуются средства локальной коммутации, которые устраняют необходимость отправки всей или части информации в корпоративный ЦОД. Минуя его, технические специалисты и менеджеры получают доступ к оперативной аналитике на удаленных объектах, тем самым повыша</w:t>
      </w:r>
      <w:r w:rsidR="003079EF">
        <w:rPr>
          <w:rFonts w:ascii="Times New Roman" w:hAnsi="Times New Roman" w:cs="Times New Roman"/>
          <w:sz w:val="24"/>
          <w:szCs w:val="24"/>
        </w:rPr>
        <w:t>я ценность принимаемых решений.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Важно найти баланс между стоимостью IoT-систем и их эффективностью, но уже очевидно, что наилучший результат edge computing демонстрирует в области автоматизации. Например, на сборочных линиях, где датчики могут выявлять проблемы с оборудованием и инфраструктурой, предотвращая остановку дорогостоящего конвейера. Еще один пример — установка датчиков, которые отслеживают износ железнодорожного полотна. Своевременная замена изношенных участков позволит избежать внештатных ситуаций типа изменения расписания поездов, не говоря уже о с</w:t>
      </w:r>
      <w:r>
        <w:rPr>
          <w:rFonts w:ascii="Times New Roman" w:hAnsi="Times New Roman" w:cs="Times New Roman"/>
          <w:sz w:val="24"/>
          <w:szCs w:val="24"/>
        </w:rPr>
        <w:t>охранности человеческих жизней.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0DBB">
        <w:rPr>
          <w:rFonts w:ascii="Times New Roman" w:hAnsi="Times New Roman" w:cs="Times New Roman"/>
          <w:b/>
          <w:sz w:val="32"/>
          <w:szCs w:val="32"/>
        </w:rPr>
        <w:t>Каков</w:t>
      </w:r>
      <w:r w:rsidRPr="00B40DBB">
        <w:rPr>
          <w:rFonts w:ascii="Times New Roman" w:hAnsi="Times New Roman" w:cs="Times New Roman"/>
          <w:b/>
          <w:sz w:val="32"/>
          <w:szCs w:val="32"/>
        </w:rPr>
        <w:t>ы сферы влияния edge computing?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Граничные вычисления в разрезе управления входящими IoT-данными повлияют практически на все компании почти в каждой отрасли экономики и госсектора. Edge computing охватит все сферы деятельности, начиная с автоматизации пропускного контроля и сбора данных о качестве производимых товаров, мониторинга движения транспортных средств и заканчивая роботизацией зав</w:t>
      </w:r>
      <w:r>
        <w:rPr>
          <w:rFonts w:ascii="Times New Roman" w:hAnsi="Times New Roman" w:cs="Times New Roman"/>
          <w:sz w:val="24"/>
          <w:szCs w:val="24"/>
        </w:rPr>
        <w:t>одов и дистанционной хирургией.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Косвенным указанием о приближении IoT-эры являются модули и дополнительные возможности для сбора или анализа IoT-данных, которые встраивают в свой софт поставщики ПО. Впрочем, это не значит, что предприятиям следует незамедлительно покупать дорогостоящие ПО и IoT-сети, — многие из этих ресурсов предлагается по более низки</w:t>
      </w:r>
      <w:r>
        <w:rPr>
          <w:rFonts w:ascii="Times New Roman" w:hAnsi="Times New Roman" w:cs="Times New Roman"/>
          <w:sz w:val="24"/>
          <w:szCs w:val="24"/>
        </w:rPr>
        <w:t>м ценам облачными провайдерами.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0DBB">
        <w:rPr>
          <w:rFonts w:ascii="Times New Roman" w:hAnsi="Times New Roman" w:cs="Times New Roman"/>
          <w:b/>
          <w:sz w:val="32"/>
          <w:szCs w:val="32"/>
        </w:rPr>
        <w:t>Как до</w:t>
      </w:r>
      <w:r w:rsidRPr="00B40DBB">
        <w:rPr>
          <w:rFonts w:ascii="Times New Roman" w:hAnsi="Times New Roman" w:cs="Times New Roman"/>
          <w:b/>
          <w:sz w:val="32"/>
          <w:szCs w:val="32"/>
        </w:rPr>
        <w:t>лго ждать внедрения технологии?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Можно ли говорить о том, что edge computing проник в коммерческий сектор экономики? Исследование, проведенное Tech Pro Research в 2016 г., показало, что к внедрению IoT в сочетании с технологией граничных вычислений приступило больше половины опрошенных. В их числе были как компании СМБ, так и крупные предприятия. Некоторые вендоры отметили, что занимаются внедрением edge computing, руководствуясь собственными IoT-стратегиями. В любом случае, даже если тот или иной вендор не нацелен на немедленное внедрение, в его дорожной карте все равно должны быть намеки или даже выработанная стратегия п</w:t>
      </w:r>
      <w:r>
        <w:rPr>
          <w:rFonts w:ascii="Times New Roman" w:hAnsi="Times New Roman" w:cs="Times New Roman"/>
          <w:sz w:val="24"/>
          <w:szCs w:val="24"/>
        </w:rPr>
        <w:t>о развертыванию edge computing.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 xml:space="preserve">В случае, если эти условия соблюдены, остается перейти ко второму этапу — найти поставщика ИТ-услуг, который предлагает услуги по развертыванию IoT-инфраструктуры. Для этого поставщики — особенно это касается крупных — предоставляют базовые сервисы, включая услуги хранения, серверные мощности, виртуальные сети, пропускные каналы и IoT-устройства. Наличие облачных служб позволит предприятиям любых размеров сдвигать свои компьютерные мощности и хранилища данных поближе «к краю». Нужно иметь в виду, что облачные вендоры </w:t>
      </w:r>
      <w:r w:rsidRPr="00B40DBB">
        <w:rPr>
          <w:rFonts w:ascii="Times New Roman" w:hAnsi="Times New Roman" w:cs="Times New Roman"/>
          <w:sz w:val="24"/>
          <w:szCs w:val="24"/>
        </w:rPr>
        <w:lastRenderedPageBreak/>
        <w:t xml:space="preserve">имеют необходимую экспертизу для развертывания IoT-сервисов — </w:t>
      </w:r>
      <w:r>
        <w:rPr>
          <w:rFonts w:ascii="Times New Roman" w:hAnsi="Times New Roman" w:cs="Times New Roman"/>
          <w:sz w:val="24"/>
          <w:szCs w:val="24"/>
        </w:rPr>
        <w:t>остается лишь подобрать нужные.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0DBB">
        <w:rPr>
          <w:rFonts w:ascii="Times New Roman" w:hAnsi="Times New Roman" w:cs="Times New Roman"/>
          <w:b/>
          <w:sz w:val="32"/>
          <w:szCs w:val="32"/>
        </w:rPr>
        <w:t>Как приступить к внедрен</w:t>
      </w:r>
      <w:r w:rsidRPr="00B40DBB">
        <w:rPr>
          <w:rFonts w:ascii="Times New Roman" w:hAnsi="Times New Roman" w:cs="Times New Roman"/>
          <w:b/>
          <w:sz w:val="32"/>
          <w:szCs w:val="32"/>
        </w:rPr>
        <w:t>ию edge computing прямо сейчас?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Есть два способа реализации концепции граничных вычислений на предприятии: установка физического оборудования, в т. ч. серверов и устройств сбора данных онпремис, а также облачные решения. И те, и другие предлагаются такими поставщиками, как Intel, IBM, Nokia, Motorola, General Electric, Cisco или Microsoft. Помимо них на рынке имеются поставщики, специализирующиеся на поставке вертикальных решений и ИТ-приложений для защиты граничной сети, мониторинга, логистики и автоматизации производства. ИТ-поставщики помимо оборудования, ПО и сетей оказывают консультационные услуги по их нас</w:t>
      </w:r>
      <w:r>
        <w:rPr>
          <w:rFonts w:ascii="Times New Roman" w:hAnsi="Times New Roman" w:cs="Times New Roman"/>
          <w:sz w:val="24"/>
          <w:szCs w:val="24"/>
        </w:rPr>
        <w:t>тройке и правильному внедрению.</w:t>
      </w:r>
    </w:p>
    <w:p w:rsidR="00B40DBB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Переход к edge computing лучше всего предварить детальным анализом, очертив потребности в коммуникационной архитектуре для гладкого приема и обработки данных IoT в режиме реального времени; выстроить канал транспортировки отсортированно</w:t>
      </w:r>
      <w:r>
        <w:rPr>
          <w:rFonts w:ascii="Times New Roman" w:hAnsi="Times New Roman" w:cs="Times New Roman"/>
          <w:sz w:val="24"/>
          <w:szCs w:val="24"/>
        </w:rPr>
        <w:t>й информации в центральный ЦОД.</w:t>
      </w:r>
    </w:p>
    <w:p w:rsidR="00823D9F" w:rsidRPr="00B40DBB" w:rsidRDefault="00B40DBB" w:rsidP="00B40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DBB">
        <w:rPr>
          <w:rFonts w:ascii="Times New Roman" w:hAnsi="Times New Roman" w:cs="Times New Roman"/>
          <w:sz w:val="24"/>
          <w:szCs w:val="24"/>
        </w:rPr>
        <w:t>Некоторые эксперты уже высказали свое мнение по поводу граничных вычислений. К примеру, аналитик Gartner Томас Битман считает, что «edge computing „съест“ облако». «Сегодня облачные вычисления пожирают ЦОДы предприятий, на облако приходится все больше и больше нагрузок, но есть еще одна тенденция, которая переместит рабочие нагрузки, данные и стоимость бизнеса далеко от облака. И эта тенденция — переход к edge computing. Она еще более важная и сильная, чем когда-то было в случае с облачными вычислениями», — уверен он.</w:t>
      </w:r>
    </w:p>
    <w:sectPr w:rsidR="00823D9F" w:rsidRPr="00B40DBB" w:rsidSect="00762BCC">
      <w:footerReference w:type="default" r:id="rId7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72" w:rsidRDefault="00DB6972" w:rsidP="00405EBF">
      <w:pPr>
        <w:spacing w:after="0" w:line="240" w:lineRule="auto"/>
      </w:pPr>
      <w:r>
        <w:separator/>
      </w:r>
    </w:p>
  </w:endnote>
  <w:endnote w:type="continuationSeparator" w:id="0">
    <w:p w:rsidR="00DB6972" w:rsidRDefault="00DB6972" w:rsidP="0040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BF" w:rsidRDefault="003079EF" w:rsidP="003079EF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079EF">
      <w:rPr>
        <w:rFonts w:asciiTheme="majorHAnsi" w:eastAsiaTheme="majorEastAsia" w:hAnsiTheme="majorHAnsi" w:cstheme="majorBidi"/>
        <w:b/>
        <w:color w:val="FF0000"/>
        <w:sz w:val="16"/>
        <w:szCs w:val="16"/>
      </w:rPr>
      <w:t xml:space="preserve">Edge computing: </w:t>
    </w:r>
    <w:r w:rsidRPr="003079EF">
      <w:rPr>
        <w:rFonts w:asciiTheme="majorHAnsi" w:eastAsiaTheme="majorEastAsia" w:hAnsiTheme="majorHAnsi" w:cstheme="majorBidi"/>
        <w:b/>
        <w:color w:val="FF0000"/>
        <w:sz w:val="16"/>
        <w:szCs w:val="16"/>
      </w:rPr>
      <w:t>почему об этой технологии следует узнать немедленно?</w:t>
    </w:r>
    <w:r w:rsidR="00405EBF">
      <w:rPr>
        <w:rFonts w:asciiTheme="majorHAnsi" w:eastAsiaTheme="majorEastAsia" w:hAnsiTheme="majorHAnsi" w:cstheme="majorBidi"/>
      </w:rPr>
      <w:ptab w:relativeTo="margin" w:alignment="right" w:leader="none"/>
    </w:r>
    <w:r w:rsidR="00405EBF">
      <w:rPr>
        <w:rFonts w:asciiTheme="majorHAnsi" w:eastAsiaTheme="majorEastAsia" w:hAnsiTheme="majorHAnsi" w:cstheme="majorBidi"/>
      </w:rPr>
      <w:t xml:space="preserve">Страница </w:t>
    </w:r>
    <w:r w:rsidR="00405EBF">
      <w:rPr>
        <w:rFonts w:eastAsiaTheme="minorEastAsia"/>
      </w:rPr>
      <w:fldChar w:fldCharType="begin"/>
    </w:r>
    <w:r w:rsidR="00405EBF">
      <w:instrText>PAGE   \* MERGEFORMAT</w:instrText>
    </w:r>
    <w:r w:rsidR="00405EBF">
      <w:rPr>
        <w:rFonts w:eastAsiaTheme="minorEastAsia"/>
      </w:rPr>
      <w:fldChar w:fldCharType="separate"/>
    </w:r>
    <w:r w:rsidRPr="003079EF">
      <w:rPr>
        <w:rFonts w:asciiTheme="majorHAnsi" w:eastAsiaTheme="majorEastAsia" w:hAnsiTheme="majorHAnsi" w:cstheme="majorBidi"/>
        <w:noProof/>
      </w:rPr>
      <w:t>2</w:t>
    </w:r>
    <w:r w:rsidR="00405EBF">
      <w:rPr>
        <w:rFonts w:asciiTheme="majorHAnsi" w:eastAsiaTheme="majorEastAsia" w:hAnsiTheme="majorHAnsi" w:cstheme="majorBidi"/>
      </w:rPr>
      <w:fldChar w:fldCharType="end"/>
    </w:r>
  </w:p>
  <w:p w:rsidR="00405EBF" w:rsidRDefault="00405E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72" w:rsidRDefault="00DB6972" w:rsidP="00405EBF">
      <w:pPr>
        <w:spacing w:after="0" w:line="240" w:lineRule="auto"/>
      </w:pPr>
      <w:r>
        <w:separator/>
      </w:r>
    </w:p>
  </w:footnote>
  <w:footnote w:type="continuationSeparator" w:id="0">
    <w:p w:rsidR="00DB6972" w:rsidRDefault="00DB6972" w:rsidP="00405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65"/>
    <w:rsid w:val="002F2A65"/>
    <w:rsid w:val="003079EF"/>
    <w:rsid w:val="00405EBF"/>
    <w:rsid w:val="00762BCC"/>
    <w:rsid w:val="00823D9F"/>
    <w:rsid w:val="00A40810"/>
    <w:rsid w:val="00B40DBB"/>
    <w:rsid w:val="00D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E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5EB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EBF"/>
  </w:style>
  <w:style w:type="paragraph" w:styleId="a8">
    <w:name w:val="footer"/>
    <w:basedOn w:val="a"/>
    <w:link w:val="a9"/>
    <w:uiPriority w:val="99"/>
    <w:unhideWhenUsed/>
    <w:rsid w:val="0040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E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5EB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EBF"/>
  </w:style>
  <w:style w:type="paragraph" w:styleId="a8">
    <w:name w:val="footer"/>
    <w:basedOn w:val="a"/>
    <w:link w:val="a9"/>
    <w:uiPriority w:val="99"/>
    <w:unhideWhenUsed/>
    <w:rsid w:val="0040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2</cp:revision>
  <dcterms:created xsi:type="dcterms:W3CDTF">2019-04-10T06:17:00Z</dcterms:created>
  <dcterms:modified xsi:type="dcterms:W3CDTF">2019-04-10T06:17:00Z</dcterms:modified>
</cp:coreProperties>
</file>